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APA FORMAT 7ED.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REFERENCES- ONLY THE ONES THAT I LISTED/ ALPHABETICAL ORDER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SENTENCES MUST BE 5 TO 8 LONG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 AUDIO BUT SPEAKERS NEED TO BE ADDED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TOPIC-</w:t>
      </w:r>
      <w:r w:rsidDel="00000000" w:rsidR="00000000" w:rsidRPr="00000000">
        <w:rPr>
          <w:color w:val="2d3b45"/>
          <w:sz w:val="24"/>
          <w:szCs w:val="24"/>
          <w:rtl w:val="0"/>
        </w:rPr>
        <w:t xml:space="preserve"> The Variability in Human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Create a narrated PowerPoint presentation to be shared with your classmates in the discussion forum.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You may not use any previously created PowerPoint for any other assignment from this course of BA program. </w:t>
      </w:r>
    </w:p>
    <w:p w:rsidR="00000000" w:rsidDel="00000000" w:rsidP="00000000" w:rsidRDefault="00000000" w:rsidRPr="00000000" w14:paraId="0000000A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The purpose of this presentation is to help you see through your own presentation and that of your classmates, the variability in human behavior.</w:t>
      </w:r>
    </w:p>
    <w:p w:rsidR="00000000" w:rsidDel="00000000" w:rsidP="00000000" w:rsidRDefault="00000000" w:rsidRPr="00000000" w14:paraId="0000000B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You will select a psychology topic and present a 5-minute PowerPoint with audio on each slide.</w:t>
      </w:r>
    </w:p>
    <w:p w:rsidR="00000000" w:rsidDel="00000000" w:rsidP="00000000" w:rsidRDefault="00000000" w:rsidRPr="00000000" w14:paraId="0000000C">
      <w:pPr>
        <w:shd w:fill="ffffff" w:val="clear"/>
        <w:spacing w:after="180" w:before="180" w:lineRule="auto"/>
        <w:rPr>
          <w:color w:val="2d3b45"/>
          <w:sz w:val="24"/>
          <w:szCs w:val="24"/>
        </w:rPr>
      </w:pPr>
      <w:r w:rsidDel="00000000" w:rsidR="00000000" w:rsidRPr="00000000">
        <w:rPr>
          <w:color w:val="2d3b45"/>
          <w:sz w:val="24"/>
          <w:szCs w:val="24"/>
          <w:rtl w:val="0"/>
        </w:rPr>
        <w:t xml:space="preserve">As near graduates, you will determine the content for this presentation.</w:t>
      </w:r>
    </w:p>
    <w:p w:rsidR="00000000" w:rsidDel="00000000" w:rsidP="00000000" w:rsidRDefault="00000000" w:rsidRPr="00000000" w14:paraId="0000000D">
      <w:pPr>
        <w:shd w:fill="ffffff" w:val="clear"/>
        <w:spacing w:after="180" w:before="180" w:lineRule="auto"/>
        <w:rPr>
          <w:b w:val="1"/>
          <w:color w:val="2d3b45"/>
          <w:sz w:val="24"/>
          <w:szCs w:val="24"/>
        </w:rPr>
      </w:pPr>
      <w:r w:rsidDel="00000000" w:rsidR="00000000" w:rsidRPr="00000000">
        <w:rPr>
          <w:b w:val="1"/>
          <w:color w:val="2d3b45"/>
          <w:sz w:val="24"/>
          <w:szCs w:val="24"/>
          <w:rtl w:val="0"/>
        </w:rPr>
        <w:t xml:space="preserve">Answer this question:</w:t>
      </w:r>
    </w:p>
    <w:p w:rsidR="00000000" w:rsidDel="00000000" w:rsidP="00000000" w:rsidRDefault="00000000" w:rsidRPr="00000000" w14:paraId="0000000E">
      <w:pPr>
        <w:shd w:fill="ffffff" w:val="clear"/>
        <w:spacing w:after="180" w:before="180" w:lineRule="auto"/>
        <w:rPr>
          <w:b w:val="1"/>
          <w:color w:val="2d3b45"/>
          <w:sz w:val="24"/>
          <w:szCs w:val="24"/>
        </w:rPr>
      </w:pPr>
      <w:r w:rsidDel="00000000" w:rsidR="00000000" w:rsidRPr="00000000">
        <w:rPr>
          <w:b w:val="1"/>
          <w:color w:val="2d3b45"/>
          <w:sz w:val="24"/>
          <w:szCs w:val="24"/>
          <w:rtl w:val="0"/>
        </w:rPr>
        <w:t xml:space="preserve">What do you think is important to learn more about and to share with your classmates about psychology?</w:t>
      </w:r>
    </w:p>
    <w:p w:rsidR="00000000" w:rsidDel="00000000" w:rsidP="00000000" w:rsidRDefault="00000000" w:rsidRPr="00000000" w14:paraId="0000000F">
      <w:pPr>
        <w:shd w:fill="ffffff" w:val="clear"/>
        <w:spacing w:after="180" w:before="180" w:lineRule="auto"/>
        <w:rPr>
          <w:b w:val="1"/>
          <w:color w:val="2d3b45"/>
          <w:sz w:val="24"/>
          <w:szCs w:val="24"/>
        </w:rPr>
      </w:pPr>
      <w:r w:rsidDel="00000000" w:rsidR="00000000" w:rsidRPr="00000000">
        <w:rPr>
          <w:b w:val="1"/>
          <w:color w:val="2d3b45"/>
          <w:sz w:val="24"/>
          <w:szCs w:val="24"/>
          <w:rtl w:val="0"/>
        </w:rPr>
        <w:t xml:space="preserve">Be sure to review the grading rubric to meet the assignment criteria.</w:t>
      </w:r>
    </w:p>
    <w:p w:rsidR="00000000" w:rsidDel="00000000" w:rsidP="00000000" w:rsidRDefault="00000000" w:rsidRPr="00000000" w14:paraId="00000010">
      <w:pPr>
        <w:shd w:fill="ffffff" w:val="clear"/>
        <w:spacing w:after="180" w:before="180" w:lineRule="auto"/>
        <w:rPr>
          <w:b w:val="1"/>
          <w:color w:val="2d3b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80" w:before="180" w:lineRule="auto"/>
        <w:rPr>
          <w:rFonts w:ascii="Roboto" w:cs="Roboto" w:eastAsia="Roboto" w:hAnsi="Roboto"/>
          <w:b w:val="1"/>
          <w:color w:val="54545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Fox, M. D., Snyder, A. Z., Vincent, J. L., &amp; Raichle, M. E. (2007). Intrinsic fluctuations within cortical systems account for intertrial variability in human behavior.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Neuron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56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(1), 171–184. https://doi.org/10.1016/j.neuron.2007.08.023</w:t>
      </w:r>
    </w:p>
    <w:p w:rsidR="00000000" w:rsidDel="00000000" w:rsidP="00000000" w:rsidRDefault="00000000" w:rsidRPr="00000000" w14:paraId="00000012">
      <w:pPr>
        <w:shd w:fill="ffffff" w:val="clear"/>
        <w:spacing w:after="180" w:before="180" w:lineRule="auto"/>
        <w:rPr>
          <w:rFonts w:ascii="Roboto" w:cs="Roboto" w:eastAsia="Roboto" w:hAnsi="Roboto"/>
          <w:b w:val="1"/>
          <w:color w:val="54545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Lebbon, A. R., &amp; Sigurdsson, S. O. (2017). Behavioral perspectives on variability in human behavior as part of process safety.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Journal of Organizational Behavior Management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37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(3-4), 261–282.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highlight w:val="white"/>
            <w:u w:val="single"/>
            <w:rtl w:val="0"/>
          </w:rPr>
          <w:t xml:space="preserve">https://doi.org/10.1080/01608061.2017.1340922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80" w:before="180" w:lineRule="auto"/>
        <w:rPr>
          <w:rFonts w:ascii="Roboto" w:cs="Roboto" w:eastAsia="Roboto" w:hAnsi="Roboto"/>
          <w:b w:val="1"/>
          <w:color w:val="54545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545454"/>
          <w:highlight w:val="white"/>
          <w:rtl w:val="0"/>
        </w:rPr>
        <w:t xml:space="preserve">Maurer, L. K., Maurer, H., &amp; Müller H. (2018). Analysis of timing variability in human movements by aligning parameter curves in time.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Behavior Research Methods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45454"/>
          <w:highlight w:val="white"/>
          <w:rtl w:val="0"/>
        </w:rPr>
        <w:t xml:space="preserve">50</w:t>
      </w:r>
      <w:r w:rsidDel="00000000" w:rsidR="00000000" w:rsidRPr="00000000">
        <w:rPr>
          <w:rFonts w:ascii="Roboto" w:cs="Roboto" w:eastAsia="Roboto" w:hAnsi="Roboto"/>
          <w:b w:val="1"/>
          <w:color w:val="545454"/>
          <w:highlight w:val="white"/>
          <w:rtl w:val="0"/>
        </w:rPr>
        <w:t xml:space="preserve">(5), 1841–1852. https://doi.org/10.3758/s13428-017-0952-0</w:t>
      </w:r>
    </w:p>
    <w:p w:rsidR="00000000" w:rsidDel="00000000" w:rsidP="00000000" w:rsidRDefault="00000000" w:rsidRPr="00000000" w14:paraId="00000014">
      <w:pPr>
        <w:shd w:fill="ffffff" w:val="clear"/>
        <w:spacing w:after="180" w:before="180" w:lineRule="auto"/>
        <w:rPr>
          <w:b w:val="1"/>
          <w:color w:val="2d3b45"/>
          <w:sz w:val="24"/>
          <w:szCs w:val="24"/>
        </w:rPr>
      </w:pPr>
      <w:r w:rsidDel="00000000" w:rsidR="00000000" w:rsidRPr="00000000">
        <w:rPr>
          <w:b w:val="1"/>
          <w:color w:val="2d3b4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i.org/10.1080/01608061.2017.13409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